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5B7F" w:rsidRDefault="00185B7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f3"/>
        <w:tblW w:w="9945" w:type="dxa"/>
        <w:tblInd w:w="202" w:type="dxa"/>
        <w:tblLayout w:type="fixed"/>
        <w:tblLook w:val="0000" w:firstRow="0" w:lastRow="0" w:firstColumn="0" w:lastColumn="0" w:noHBand="0" w:noVBand="0"/>
      </w:tblPr>
      <w:tblGrid>
        <w:gridCol w:w="3030"/>
        <w:gridCol w:w="1665"/>
        <w:gridCol w:w="5250"/>
      </w:tblGrid>
      <w:tr w:rsidR="00185B7F">
        <w:trPr>
          <w:cantSplit/>
          <w:trHeight w:val="53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297F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cantSplit/>
          <w:trHeight w:val="53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  <w:lang w:val="es-CO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1884363</wp:posOffset>
                      </wp:positionH>
                      <wp:positionV relativeFrom="paragraph">
                        <wp:posOffset>68263</wp:posOffset>
                      </wp:positionV>
                      <wp:extent cx="313690" cy="301142"/>
                      <wp:effectExtent l="0" t="0" r="0" b="0"/>
                      <wp:wrapNone/>
                      <wp:docPr id="32" name="Rectángulo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5B7F" w:rsidRDefault="00185B7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1884363</wp:posOffset>
                      </wp:positionH>
                      <wp:positionV relativeFrom="paragraph">
                        <wp:posOffset>68263</wp:posOffset>
                      </wp:positionV>
                      <wp:extent cx="313690" cy="301142"/>
                      <wp:effectExtent b="0" l="0" r="0" t="0"/>
                      <wp:wrapNone/>
                      <wp:docPr id="32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3690" cy="301142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  <w:r>
              <w:rPr>
                <w:noProof/>
                <w:lang w:val="es-CO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5212663</wp:posOffset>
                      </wp:positionH>
                      <wp:positionV relativeFrom="paragraph">
                        <wp:posOffset>-14283</wp:posOffset>
                      </wp:positionV>
                      <wp:extent cx="313690" cy="301142"/>
                      <wp:effectExtent l="0" t="0" r="0" b="0"/>
                      <wp:wrapNone/>
                      <wp:docPr id="31" name="Rectángulo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5B7F" w:rsidRDefault="00297FA9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8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5212663</wp:posOffset>
                      </wp:positionH>
                      <wp:positionV relativeFrom="paragraph">
                        <wp:posOffset>-14283</wp:posOffset>
                      </wp:positionV>
                      <wp:extent cx="313690" cy="301142"/>
                      <wp:effectExtent b="0" l="0" r="0" t="0"/>
                      <wp:wrapNone/>
                      <wp:docPr id="3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3690" cy="301142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</w:t>
            </w:r>
          </w:p>
          <w:p w:rsidR="00185B7F" w:rsidRDefault="00B876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Cuota Número: 3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cantSplit/>
          <w:trHeight w:val="39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185B7F">
        <w:trPr>
          <w:trHeight w:val="43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>
              <w:rPr>
                <w:rFonts w:ascii="Arial" w:eastAsia="Arial" w:hAnsi="Arial" w:cs="Arial"/>
                <w:sz w:val="24"/>
                <w:szCs w:val="24"/>
              </w:rPr>
              <w:t>4162.010.26.1.4979 de 2025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trHeight w:val="283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GISELLA ANDREA CASTILLO ATOY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cantSplit/>
          <w:trHeight w:val="340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1.143.990.477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  <w:p w:rsidR="00185B7F" w:rsidRDefault="00185B7F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85B7F"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  <w:p w:rsidR="00185B7F" w:rsidRDefault="00185B7F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85B7F">
        <w:trPr>
          <w:trHeight w:val="641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Objeto del contrato: Prestación de servicios profesionales en la Secretaria del Deporte y la Recreacion del proyecto denominado Conservación de la infraestructura deportiva y recreativa del distrito especial de Santiago de Cali BP – 26005399.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85B7F">
        <w:trPr>
          <w:trHeight w:val="39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185B7F">
        <w:trPr>
          <w:trHeight w:val="783"/>
        </w:trPr>
        <w:tc>
          <w:tcPr>
            <w:tcW w:w="4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297FA9" w:rsidP="00B876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N</w:t>
            </w:r>
            <w:r w:rsidR="00B87670">
              <w:rPr>
                <w:rFonts w:ascii="Arial" w:eastAsia="Arial" w:hAnsi="Arial" w:cs="Arial"/>
                <w:sz w:val="24"/>
                <w:szCs w:val="24"/>
              </w:rPr>
              <w:t>ov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echa terminación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31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D</w:t>
            </w:r>
            <w:r w:rsidR="00B87670">
              <w:rPr>
                <w:rFonts w:ascii="Arial" w:eastAsia="Arial" w:hAnsi="Arial" w:cs="Arial"/>
                <w:sz w:val="24"/>
                <w:szCs w:val="24"/>
              </w:rPr>
              <w:t>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trHeight w:val="388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  <w:p w:rsidR="00185B7F" w:rsidRDefault="00185B7F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85B7F">
        <w:trPr>
          <w:trHeight w:val="151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185B7F">
        <w:trPr>
          <w:trHeight w:val="242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Reanudación: N/A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trHeight w:val="459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</w:tc>
      </w:tr>
      <w:tr w:rsidR="00185B7F">
        <w:trPr>
          <w:trHeight w:val="39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</w:t>
            </w:r>
            <w:r>
              <w:rPr>
                <w:rFonts w:ascii="Arial" w:eastAsia="Arial" w:hAnsi="Arial" w:cs="Arial"/>
                <w:sz w:val="24"/>
                <w:szCs w:val="24"/>
              </w:rPr>
              <w:t>ONCE MILLONES TRESCIENTOS OCHENTA Y CINCO MIL PESOS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M/CTE ($</w:t>
            </w:r>
            <w:r>
              <w:rPr>
                <w:rFonts w:ascii="Arial" w:eastAsia="Arial" w:hAnsi="Arial" w:cs="Arial"/>
                <w:sz w:val="24"/>
                <w:szCs w:val="24"/>
              </w:rPr>
              <w:t>11.385.000)</w:t>
            </w:r>
            <w:r w:rsidR="00B87670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  <w:tr w:rsidR="00185B7F">
        <w:trPr>
          <w:trHeight w:val="39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N/A </w:t>
            </w:r>
          </w:p>
        </w:tc>
      </w:tr>
      <w:tr w:rsidR="00185B7F"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</w:tc>
      </w:tr>
      <w:tr w:rsidR="00185B7F">
        <w:trPr>
          <w:trHeight w:val="517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185B7F"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185B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ff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185B7F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185B7F">
              <w:trPr>
                <w:trHeight w:val="72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297FA9">
                  <w:pPr>
                    <w:numPr>
                      <w:ilvl w:val="0"/>
                      <w:numId w:val="5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25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185B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:rsidR="00185B7F" w:rsidRDefault="00185B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185B7F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297FA9">
                  <w:pPr>
                    <w:numPr>
                      <w:ilvl w:val="0"/>
                      <w:numId w:val="5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69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185B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trHeight w:val="371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ff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185B7F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185B7F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$ 7.590.000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5B7F" w:rsidRDefault="00297FA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</w:t>
                  </w:r>
                  <w:r w:rsidR="00B8767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$ 0</w:t>
                  </w:r>
                </w:p>
              </w:tc>
            </w:tr>
          </w:tbl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trHeight w:val="356"/>
        </w:trPr>
        <w:tc>
          <w:tcPr>
            <w:tcW w:w="9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Información del pago de seguridad social:</w:t>
            </w:r>
          </w:p>
        </w:tc>
      </w:tr>
      <w:tr w:rsidR="00185B7F">
        <w:trPr>
          <w:trHeight w:val="356"/>
        </w:trPr>
        <w:tc>
          <w:tcPr>
            <w:tcW w:w="30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15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185B7F">
        <w:trPr>
          <w:trHeight w:val="1679"/>
        </w:trPr>
        <w:tc>
          <w:tcPr>
            <w:tcW w:w="3030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15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Planilla:1077512548</w:t>
            </w:r>
          </w:p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8823648738</w:t>
            </w:r>
          </w:p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03/</w:t>
            </w:r>
            <w:r w:rsidR="00B87670">
              <w:rPr>
                <w:rFonts w:ascii="Arial" w:eastAsia="Arial" w:hAnsi="Arial" w:cs="Arial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Noviembre 2025</w:t>
            </w:r>
          </w:p>
        </w:tc>
      </w:tr>
      <w:tr w:rsidR="00185B7F">
        <w:trPr>
          <w:trHeight w:val="394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La contratista adjunta seguridad social del mes de </w:t>
            </w:r>
            <w:r w:rsidR="00B87670">
              <w:rPr>
                <w:rFonts w:ascii="Arial" w:eastAsia="Arial" w:hAnsi="Arial" w:cs="Arial"/>
                <w:sz w:val="24"/>
                <w:szCs w:val="24"/>
              </w:rPr>
              <w:t>noviem</w:t>
            </w:r>
            <w:r>
              <w:rPr>
                <w:rFonts w:ascii="Arial" w:eastAsia="Arial" w:hAnsi="Arial" w:cs="Arial"/>
                <w:sz w:val="24"/>
                <w:szCs w:val="24"/>
              </w:rPr>
              <w:t>bre de 2025 para el pago de esta cuenta, según decreto 1273 de 23/07/20</w:t>
            </w:r>
            <w:r>
              <w:rPr>
                <w:rFonts w:ascii="Arial" w:eastAsia="Arial" w:hAnsi="Arial" w:cs="Arial"/>
                <w:sz w:val="24"/>
                <w:szCs w:val="24"/>
              </w:rPr>
              <w:t>18 que permite efectuar la cancelación mes vencido de la seguridad social. Se compromete a pagar la seguridad social correspondiente.</w:t>
            </w:r>
          </w:p>
          <w:p w:rsidR="00185B7F" w:rsidRDefault="00297FA9">
            <w:pPr>
              <w:spacing w:before="240" w:after="24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En cumplimiento a lo señalado en el artículo 50 de la Ley 789 de 2002 que establece que: "</w:t>
            </w:r>
            <w:r>
              <w:rPr>
                <w:rFonts w:ascii="Arial" w:eastAsia="Arial" w:hAnsi="Arial" w:cs="Arial"/>
                <w:sz w:val="24"/>
                <w:szCs w:val="24"/>
              </w:rPr>
              <w:t>Las Entidades públicas en el momento de liquidar los contratos deberán verificar y dejar constancia del cumplimiento de las obligaciones del contratista frente a los aportes mencionados durante toda su vigencia, estableciendo una correcta relación entre el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monto cancelado y las sumas que debieron haber sido cotizadas", y teniendo en cuenta que a la luz del artículo 60 de la Ley 80 de 1993 la liquidación de los contratos de prestación de servicios profesionales y de apoyo a la gestión no es obligatoria, el c</w:t>
            </w:r>
            <w:r>
              <w:rPr>
                <w:rFonts w:ascii="Arial" w:eastAsia="Arial" w:hAnsi="Arial" w:cs="Arial"/>
                <w:sz w:val="24"/>
                <w:szCs w:val="24"/>
              </w:rPr>
              <w:t>ontratista deberá acreditar ante el Supervisor el pago de los aportes a su seguridad social del mes de diciembre de 2025 remitiendo los correspondientes soportes (planilla de pago de seguridad social diciembre de 2025 y soporte de pago) al correo electróni</w:t>
            </w:r>
            <w:r>
              <w:rPr>
                <w:rFonts w:ascii="Arial" w:eastAsia="Arial" w:hAnsi="Arial" w:cs="Arial"/>
                <w:sz w:val="24"/>
                <w:szCs w:val="24"/>
              </w:rPr>
              <w:t>co institucional del Supervisor con copia al correo institucional del Organismo (krysthian.ramirez@cali.gov.co), dentro de los cinco (5) días hábiles siguientes al vencimiento del plazo para la autoliquidación y el pago de los aportes al Sistema de Segurid</w:t>
            </w:r>
            <w:r>
              <w:rPr>
                <w:rFonts w:ascii="Arial" w:eastAsia="Arial" w:hAnsi="Arial" w:cs="Arial"/>
                <w:sz w:val="24"/>
                <w:szCs w:val="24"/>
              </w:rPr>
              <w:t>ad Social Integral, establecido en el Decreto 1990 de 2016, o la disposición que la derogue o modifique.</w:t>
            </w:r>
          </w:p>
          <w:p w:rsidR="00185B7F" w:rsidRDefault="00297FA9">
            <w:pPr>
              <w:spacing w:before="240" w:after="24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 acreditación del pago de los aportes se anexará al expediente. En caso de que el contratista no cumpla esta obligación, el Supervisor deberá reporta</w:t>
            </w:r>
            <w:r>
              <w:rPr>
                <w:rFonts w:ascii="Arial" w:eastAsia="Arial" w:hAnsi="Arial" w:cs="Arial"/>
                <w:sz w:val="24"/>
                <w:szCs w:val="24"/>
              </w:rPr>
              <w:t>r el eventual incumplimiento en el pago de aportes a la Unidad Administrativa Especial de Gestión Pensional y Contribuciones Parafiscales de la Protección Social (UGPP), con el fin que esta entidad adelante las acciones pertinentes a que haya lugar.</w:t>
            </w:r>
          </w:p>
        </w:tc>
      </w:tr>
      <w:tr w:rsidR="00185B7F">
        <w:trPr>
          <w:trHeight w:val="449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5B7F" w:rsidRDefault="00297F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 TÉCNICO</w:t>
            </w:r>
          </w:p>
        </w:tc>
      </w:tr>
      <w:tr w:rsidR="00185B7F">
        <w:trPr>
          <w:trHeight w:val="951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Concepto Supervisor: Durante el desarrollo del contrato de prestación de servicios No.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4162.010.26.1.4979 de 2025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 pudo verificar que el contratista realizó las siguientes actividades en cumplimiento de sus obligaciones y objeto contractual: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297FA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Realizar informe técnico y consolidado del periodo Enero a septiembre de 2025 correspondiente a la gestión de la Participación Ciudadana en las Comunas y Corregimientos del Distrito de Santiago de Cali, con su correspondiente seguimiento a las solicitu</w:t>
            </w:r>
            <w:r>
              <w:rPr>
                <w:rFonts w:ascii="Arial" w:eastAsia="Arial" w:hAnsi="Arial" w:cs="Arial"/>
                <w:sz w:val="24"/>
                <w:szCs w:val="24"/>
              </w:rPr>
              <w:t>des de la ciudadanía y la incidencia de la Secretaría de Deportes y la Recreación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numPr>
                <w:ilvl w:val="0"/>
                <w:numId w:val="8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 contratista no realizó esta actividad en este periodo.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Facilitar la preparación logística, así como acompañar al secretario a las reuniones de Participación Ciudadana en las Comunas y Corregimientos</w:t>
            </w:r>
            <w:r>
              <w:rPr>
                <w:rFonts w:ascii="Arial" w:eastAsia="Arial" w:hAnsi="Arial" w:cs="Arial"/>
                <w:sz w:val="24"/>
                <w:szCs w:val="24"/>
              </w:rPr>
              <w:br/>
            </w:r>
          </w:p>
          <w:p w:rsidR="00185B7F" w:rsidRDefault="00297FA9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 contratista realizó la preparación logística necesaria y acompañó al secretario en las reuniones de Parti</w:t>
            </w:r>
            <w:r>
              <w:rPr>
                <w:rFonts w:ascii="Arial" w:eastAsia="Arial" w:hAnsi="Arial" w:cs="Arial"/>
                <w:sz w:val="24"/>
                <w:szCs w:val="24"/>
              </w:rPr>
              <w:t>cipación Ciudadana desarrolladas en las comunas y corregimientos, asegurando la coordinación oportuna de cada encuentro, el apoyo durante su ejecución y el cumplimiento de las orientaciones institucionales. Este acompañamiento permitió fortalecer la intera</w:t>
            </w:r>
            <w:r>
              <w:rPr>
                <w:rFonts w:ascii="Arial" w:eastAsia="Arial" w:hAnsi="Arial" w:cs="Arial"/>
                <w:sz w:val="24"/>
                <w:szCs w:val="24"/>
              </w:rPr>
              <w:t>cción con la ciudadanía y garantizar el adecuado desarrollo de las actividades programadas por la Secretaría.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Organizar al interior del organismo la información requerida para dar respuestas a los oficios enviados por el sistema Orfeo que son propios d</w:t>
            </w:r>
            <w:r>
              <w:rPr>
                <w:rFonts w:ascii="Arial" w:eastAsia="Arial" w:hAnsi="Arial" w:cs="Arial"/>
                <w:sz w:val="24"/>
                <w:szCs w:val="24"/>
              </w:rPr>
              <w:t>el proceso de Participación Ciudadana.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numPr>
                <w:ilvl w:val="0"/>
                <w:numId w:val="3"/>
              </w:num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 contratista realizó la organización interna de la información requerida para dar respuesta a los oficios enviados a través del sistema Orfeo, garantizando la verificación, consolidación y clasificación de los docu</w:t>
            </w:r>
            <w:r>
              <w:rPr>
                <w:rFonts w:ascii="Arial" w:eastAsia="Arial" w:hAnsi="Arial" w:cs="Arial"/>
                <w:sz w:val="24"/>
                <w:szCs w:val="24"/>
              </w:rPr>
              <w:t>mentos propios del proceso de Participación Ciudadana. Este trabajo permitió atender de manera oportuna y ordenada las solicitudes institucionales, facilitando el seguimiento y la gestión eficiente de cada requerimiento.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4. Facilitar la participación del </w:t>
            </w:r>
            <w:r>
              <w:rPr>
                <w:rFonts w:ascii="Arial" w:eastAsia="Arial" w:hAnsi="Arial" w:cs="Arial"/>
                <w:sz w:val="24"/>
                <w:szCs w:val="24"/>
              </w:rPr>
              <w:t>organismo en las mesas, brigadas y ferias de servicios relacionados con las estrategias de participación ciudadana de la Alcaldía.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numPr>
                <w:ilvl w:val="0"/>
                <w:numId w:val="9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 contratista realizó las gestiones necesarias para facilitar la participación del organismo en las mesas, brigadas y ferias de servicios articuladas a las estrategias de participación ciudadana de la Alcaldía, asegurando la coordinación previa, el acompa</w:t>
            </w:r>
            <w:r>
              <w:rPr>
                <w:rFonts w:ascii="Arial" w:eastAsia="Arial" w:hAnsi="Arial" w:cs="Arial"/>
                <w:sz w:val="24"/>
                <w:szCs w:val="24"/>
              </w:rPr>
              <w:t>ñamiento en territorio y el apoyo logístico requerido. Estas acciones permitieron fortalecer la presencia institucional, promover el acercamiento con la comunidad y garantizar el desarrollo adecuado de cada una de las actividades programadas.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5. realizar </w:t>
            </w:r>
            <w:r>
              <w:rPr>
                <w:rFonts w:ascii="Arial" w:eastAsia="Arial" w:hAnsi="Arial" w:cs="Arial"/>
                <w:sz w:val="24"/>
                <w:szCs w:val="24"/>
              </w:rPr>
              <w:t>Ia atención y respuesta a los requerimientos de Ia comunidad</w:t>
            </w:r>
            <w:r>
              <w:rPr>
                <w:rFonts w:ascii="Arial" w:eastAsia="Arial" w:hAnsi="Arial" w:cs="Arial"/>
                <w:sz w:val="24"/>
                <w:szCs w:val="24"/>
              </w:rPr>
              <w:br/>
            </w:r>
          </w:p>
          <w:p w:rsidR="00185B7F" w:rsidRDefault="00297FA9">
            <w:pPr>
              <w:numPr>
                <w:ilvl w:val="0"/>
                <w:numId w:val="6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 contratista realizó la atención y respuesta a los requerimientos de la comunidad, gestionando cada solicitud de manera oportuna, verificando la información necesaria y articulando con las áre</w:t>
            </w:r>
            <w:r>
              <w:rPr>
                <w:rFonts w:ascii="Arial" w:eastAsia="Arial" w:hAnsi="Arial" w:cs="Arial"/>
                <w:sz w:val="24"/>
                <w:szCs w:val="24"/>
              </w:rPr>
              <w:t>as correspondientes para garantizar soluciones adecuadas. Este proceso permitió mantener una comunicación efectiva con la ciudadanía y fortalecer la gestión institucional frente a sus necesidades y expectativas.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b/>
                <w:bCs/>
                <w:color w:val="FF0000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6.Participar en la Mesa Interdisciplinaria </w:t>
            </w:r>
            <w:r>
              <w:rPr>
                <w:rFonts w:ascii="Arial" w:eastAsia="Arial" w:hAnsi="Arial" w:cs="Arial"/>
                <w:sz w:val="24"/>
                <w:szCs w:val="24"/>
              </w:rPr>
              <w:t>de Trabajo para el análisis de la base de datos de infraestructura deportiva de la ciudad.</w:t>
            </w:r>
          </w:p>
          <w:p w:rsidR="00185B7F" w:rsidRDefault="00297FA9">
            <w:pPr>
              <w:numPr>
                <w:ilvl w:val="0"/>
                <w:numId w:val="7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La contratista participó en la Mesa Interdisciplinaria de Trabajo para el análisis de la base de datos de infraestructura deportiva de la ciudad, En el encuentro se </w:t>
            </w:r>
            <w:r>
              <w:rPr>
                <w:rFonts w:ascii="Arial" w:eastAsia="Arial" w:hAnsi="Arial" w:cs="Arial"/>
                <w:sz w:val="24"/>
                <w:szCs w:val="24"/>
              </w:rPr>
              <w:t>realizó un análisis detallado de la información suministrada por las diferentes áreas, lo que permitió avanzar en la comprensión del estado de los escenarios deportivos y en la organización de los insumos necesarios para fortalecer la gestión institucional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7. Las demás que le sean asignadas en desarrollo del objeto contractual.</w:t>
            </w:r>
          </w:p>
          <w:p w:rsidR="00185B7F" w:rsidRDefault="00297FA9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La contratista participó en el desarrollo de las demás actividades que le fueron asignadas dentro del objeto contractual, llevando a cabo las tareas complementarias requeridas para </w:t>
            </w:r>
            <w:r>
              <w:rPr>
                <w:rFonts w:ascii="Arial" w:eastAsia="Arial" w:hAnsi="Arial" w:cs="Arial"/>
                <w:sz w:val="24"/>
                <w:szCs w:val="24"/>
              </w:rPr>
              <w:t>apoyar los procesos misionales del área. Estas acciones se realizaron conforme a las necesidades surgidas durante la ejecución del contrato, garantizando oportunidad, disposición y cumplimiento en cada una de las responsabilidades encomendadas.</w:t>
            </w:r>
          </w:p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ERIFICACIÓN LAS EVIDENCIAS DE LO RELACIONADO SE ENCUENTRAN EN EL SIGUIENTE LINK: </w:t>
            </w:r>
          </w:p>
          <w:p w:rsidR="00185B7F" w:rsidRDefault="00B87670" w:rsidP="00B8767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9" w:history="1">
              <w:r w:rsidRPr="00A11F39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https://drive.google.com/drive/folders/119mBJVIlyU6GTQfyjbCSuTlZupL8RnqA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B87670" w:rsidRDefault="00B87670" w:rsidP="00B8767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85B7F">
        <w:trPr>
          <w:cantSplit/>
          <w:trHeight w:val="411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87670" w:rsidRPr="00ED4505" w:rsidRDefault="00297FA9" w:rsidP="00B876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bookmarkStart w:id="0" w:name="_heading=h.ipxzny9jlzw0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</w:t>
            </w:r>
            <w:r w:rsidR="00B8767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 Satisfacción de Servicios: </w:t>
            </w:r>
            <w:r w:rsidR="00B87670" w:rsidRPr="00ED4505">
              <w:rPr>
                <w:rFonts w:ascii="Arial" w:eastAsia="Arial" w:hAnsi="Arial" w:cs="Arial"/>
                <w:sz w:val="24"/>
                <w:szCs w:val="24"/>
              </w:rPr>
              <w:t>Con la firma del presente informe se deja constancia del</w:t>
            </w:r>
          </w:p>
          <w:p w:rsidR="00B87670" w:rsidRDefault="00B87670" w:rsidP="00B876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D4505">
              <w:rPr>
                <w:rFonts w:ascii="Arial" w:eastAsia="Arial" w:hAnsi="Arial" w:cs="Arial"/>
                <w:sz w:val="24"/>
                <w:szCs w:val="24"/>
              </w:rPr>
              <w:t>recibo a satisfacción por parte de la ALCALDÍA DE SANTIAGO DE CALI – SECRETARÍA DEL DEPORTE Y LA RECREACIÓN de los servicios prestados pactados en el contrato No. 4162.010.26.1.</w:t>
            </w:r>
            <w:r>
              <w:rPr>
                <w:rFonts w:ascii="Arial" w:eastAsia="Arial" w:hAnsi="Arial" w:cs="Arial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sz w:val="24"/>
                <w:szCs w:val="24"/>
              </w:rPr>
              <w:t>97</w:t>
            </w:r>
            <w:r>
              <w:rPr>
                <w:rFonts w:ascii="Arial" w:eastAsia="Arial" w:hAnsi="Arial" w:cs="Arial"/>
                <w:sz w:val="24"/>
                <w:szCs w:val="24"/>
              </w:rPr>
              <w:t>9</w:t>
            </w:r>
            <w:r w:rsidRPr="00ED4505">
              <w:rPr>
                <w:rFonts w:ascii="Arial" w:eastAsia="Arial" w:hAnsi="Arial" w:cs="Arial"/>
                <w:sz w:val="24"/>
                <w:szCs w:val="24"/>
              </w:rPr>
              <w:t xml:space="preserve"> de 2025.</w:t>
            </w:r>
          </w:p>
          <w:p w:rsidR="00185B7F" w:rsidRDefault="00185B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18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85B7F">
        <w:trPr>
          <w:cantSplit/>
          <w:trHeight w:val="559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B876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Pr="00B87670"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 la fecha del presente informe no posee a su cargo elementos devolutivos de propiedad de la ALCALDÍA DE SANTIAGO DE CALI -SECRETARÍA DEL DEPORTE Y LA RECREACIÓN , que hayan sido entregados por este organismo para el desempeño de sus actividades. Así mismo se encuentra a Paz y Salvo con el archivo de gestión documental y el sistema de gestión documental.</w:t>
            </w:r>
          </w:p>
          <w:p w:rsidR="00B87670" w:rsidRDefault="00B876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cantSplit/>
          <w:trHeight w:val="411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87670" w:rsidRPr="00B87670" w:rsidRDefault="00297FA9" w:rsidP="00B876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bookmarkStart w:id="1" w:name="_heading=h.h07bugy5bkby" w:colFirst="0" w:colLast="0"/>
            <w:bookmarkEnd w:id="1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</w:t>
            </w:r>
            <w:r w:rsidR="00B87670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B87670" w:rsidRPr="00B87670">
              <w:rPr>
                <w:rFonts w:ascii="Arial" w:eastAsia="Arial" w:hAnsi="Arial" w:cs="Arial"/>
                <w:sz w:val="24"/>
                <w:szCs w:val="24"/>
              </w:rPr>
              <w:t>Se hace entrega del informe de gestión de este contrato y</w:t>
            </w:r>
          </w:p>
          <w:p w:rsidR="00B87670" w:rsidRPr="00B87670" w:rsidRDefault="00B87670" w:rsidP="00B876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87670">
              <w:rPr>
                <w:rFonts w:ascii="Arial" w:eastAsia="Arial" w:hAnsi="Arial" w:cs="Arial"/>
                <w:sz w:val="24"/>
                <w:szCs w:val="24"/>
              </w:rPr>
              <w:t>del Backup.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5B7F">
        <w:trPr>
          <w:cantSplit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185B7F">
        <w:trPr>
          <w:cantSplit/>
          <w:trHeight w:val="355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185B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5B7F" w:rsidRDefault="00297FA9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 se reportan recomendaciones para este periodo.</w:t>
            </w: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2" w:name="_heading=h.lrz4xzdtpllj" w:colFirst="0" w:colLast="0"/>
            <w:bookmarkEnd w:id="2"/>
          </w:p>
        </w:tc>
      </w:tr>
      <w:tr w:rsidR="00185B7F">
        <w:trPr>
          <w:cantSplit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185B7F">
        <w:trPr>
          <w:cantSplit/>
          <w:trHeight w:val="490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18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</w:t>
            </w:r>
          </w:p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KRYSTHIAN DAVID RAMIREZ MUNEVAR </w:t>
            </w:r>
          </w:p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  <w:bookmarkStart w:id="3" w:name="_GoBack"/>
            <w:bookmarkEnd w:id="3"/>
          </w:p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185B7F">
        <w:trPr>
          <w:cantSplit/>
          <w:trHeight w:val="325"/>
        </w:trPr>
        <w:tc>
          <w:tcPr>
            <w:tcW w:w="99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5B7F" w:rsidRDefault="0029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Distrito de Santiago De Cali, </w:t>
            </w:r>
            <w:r>
              <w:rPr>
                <w:rFonts w:ascii="Arial" w:eastAsia="Arial" w:hAnsi="Arial" w:cs="Arial"/>
                <w:sz w:val="24"/>
                <w:szCs w:val="24"/>
              </w:rPr>
              <w:t>19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/2025.</w:t>
            </w:r>
          </w:p>
        </w:tc>
      </w:tr>
    </w:tbl>
    <w:p w:rsidR="00185B7F" w:rsidRDefault="00185B7F">
      <w:pPr>
        <w:rPr>
          <w:rFonts w:ascii="Arial" w:eastAsia="Arial" w:hAnsi="Arial" w:cs="Arial"/>
          <w:sz w:val="24"/>
          <w:szCs w:val="24"/>
        </w:rPr>
      </w:pPr>
      <w:bookmarkStart w:id="4" w:name="_heading=h.gdsbkv8lzy6y" w:colFirst="0" w:colLast="0"/>
      <w:bookmarkEnd w:id="4"/>
    </w:p>
    <w:sectPr w:rsidR="00185B7F">
      <w:headerReference w:type="default" r:id="rId10"/>
      <w:footerReference w:type="default" r:id="rId11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7FA9" w:rsidRDefault="00297FA9">
      <w:r>
        <w:separator/>
      </w:r>
    </w:p>
  </w:endnote>
  <w:endnote w:type="continuationSeparator" w:id="0">
    <w:p w:rsidR="00297FA9" w:rsidRDefault="00297F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  <w:embedRegular r:id="rId1" w:fontKey="{FBBEECC4-F1FD-4516-851B-555349B8313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3E09B34-63C4-4262-BCDE-56EFC269CC2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35057DCE-BBBC-4975-9ABB-122AAEC99CCC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4" w:fontKey="{0911739C-013B-4AD3-A418-476E2A6566D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4C7DC535-302F-4838-853D-7F0E54A6809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B7F" w:rsidRDefault="00185B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185B7F" w:rsidRDefault="00297FA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185B7F" w:rsidRDefault="00297FA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B87670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87670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B87670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87670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7FA9" w:rsidRDefault="00297FA9">
      <w:r>
        <w:separator/>
      </w:r>
    </w:p>
  </w:footnote>
  <w:footnote w:type="continuationSeparator" w:id="0">
    <w:p w:rsidR="00297FA9" w:rsidRDefault="00297F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B7F" w:rsidRDefault="00185B7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ff6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185B7F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s-CO"/>
            </w:rPr>
            <w:drawing>
              <wp:inline distT="0" distB="0" distL="0" distR="0">
                <wp:extent cx="1079997" cy="828675"/>
                <wp:effectExtent l="0" t="0" r="0" b="0"/>
                <wp:docPr id="3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185B7F" w:rsidRDefault="00185B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5B7F" w:rsidRDefault="00185B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185B7F" w:rsidRDefault="00185B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85B7F" w:rsidRDefault="00185B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5B7F" w:rsidRDefault="00297FA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185B7F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5B7F" w:rsidRDefault="00185B7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5B7F" w:rsidRDefault="00185B7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5B7F" w:rsidRDefault="00297F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185B7F" w:rsidRDefault="00185B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6F307D"/>
    <w:multiLevelType w:val="multilevel"/>
    <w:tmpl w:val="CFE29E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0C57C76"/>
    <w:multiLevelType w:val="multilevel"/>
    <w:tmpl w:val="23B2B2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1006369"/>
    <w:multiLevelType w:val="multilevel"/>
    <w:tmpl w:val="F7DE90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42B1C6D"/>
    <w:multiLevelType w:val="multilevel"/>
    <w:tmpl w:val="519E7C02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F2B6BF2"/>
    <w:multiLevelType w:val="multilevel"/>
    <w:tmpl w:val="C0FC06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CCF49D0"/>
    <w:multiLevelType w:val="multilevel"/>
    <w:tmpl w:val="D2602D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1512686"/>
    <w:multiLevelType w:val="multilevel"/>
    <w:tmpl w:val="398C130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8E20530"/>
    <w:multiLevelType w:val="multilevel"/>
    <w:tmpl w:val="5B6248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2033B65"/>
    <w:multiLevelType w:val="multilevel"/>
    <w:tmpl w:val="9B4EAC04"/>
    <w:lvl w:ilvl="0">
      <w:start w:val="1"/>
      <w:numFmt w:val="bullet"/>
      <w:lvlText w:val="●"/>
      <w:lvlJc w:val="left"/>
      <w:pPr>
        <w:ind w:left="20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8"/>
  </w:num>
  <w:num w:numId="6">
    <w:abstractNumId w:val="5"/>
  </w:num>
  <w:num w:numId="7">
    <w:abstractNumId w:val="7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5B7F"/>
    <w:rsid w:val="00185B7F"/>
    <w:rsid w:val="00297FA9"/>
    <w:rsid w:val="00B87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1CF4215-4127-4A78-BB2F-B7B467C8D0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34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C7A93"/>
    <w:rPr>
      <w:color w:val="605E5C"/>
      <w:shd w:val="clear" w:color="auto" w:fill="E1DFDD"/>
    </w:rPr>
  </w:style>
  <w:style w:type="table" w:customStyle="1" w:styleId="a">
    <w:basedOn w:val="TableNormal8"/>
    <w:tblPr>
      <w:tblStyleRowBandSize w:val="1"/>
      <w:tblStyleColBandSize w:val="1"/>
    </w:tblPr>
  </w:style>
  <w:style w:type="table" w:customStyle="1" w:styleId="a0">
    <w:basedOn w:val="TableNormal8"/>
    <w:tblPr>
      <w:tblStyleRowBandSize w:val="1"/>
      <w:tblStyleColBandSize w:val="1"/>
    </w:tblPr>
  </w:style>
  <w:style w:type="table" w:customStyle="1" w:styleId="a1">
    <w:basedOn w:val="TableNormal8"/>
    <w:tblPr>
      <w:tblStyleRowBandSize w:val="1"/>
      <w:tblStyleColBandSize w:val="1"/>
    </w:tblPr>
  </w:style>
  <w:style w:type="table" w:customStyle="1" w:styleId="a2">
    <w:basedOn w:val="TableNormal8"/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unhideWhenUsed/>
    <w:qFormat/>
    <w:rsid w:val="009425EB"/>
    <w:rPr>
      <w:sz w:val="24"/>
      <w:szCs w:val="24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B410DE"/>
    <w:rPr>
      <w:color w:val="605E5C"/>
      <w:shd w:val="clear" w:color="auto" w:fill="E1DFDD"/>
    </w:rPr>
  </w:style>
  <w:style w:type="table" w:customStyle="1" w:styleId="a3">
    <w:basedOn w:val="TableNormal8"/>
    <w:tblPr>
      <w:tblStyleRowBandSize w:val="1"/>
      <w:tblStyleColBandSize w:val="1"/>
    </w:tblPr>
  </w:style>
  <w:style w:type="table" w:customStyle="1" w:styleId="a4">
    <w:basedOn w:val="TableNormal8"/>
    <w:tblPr>
      <w:tblStyleRowBandSize w:val="1"/>
      <w:tblStyleColBandSize w:val="1"/>
    </w:tblPr>
  </w:style>
  <w:style w:type="table" w:customStyle="1" w:styleId="a5">
    <w:basedOn w:val="TableNormal8"/>
    <w:tblPr>
      <w:tblStyleRowBandSize w:val="1"/>
      <w:tblStyleColBandSize w:val="1"/>
    </w:tblPr>
  </w:style>
  <w:style w:type="table" w:customStyle="1" w:styleId="a6">
    <w:basedOn w:val="TableNormal8"/>
    <w:tblPr>
      <w:tblStyleRowBandSize w:val="1"/>
      <w:tblStyleColBandSize w:val="1"/>
    </w:tblPr>
  </w:style>
  <w:style w:type="table" w:customStyle="1" w:styleId="a7">
    <w:basedOn w:val="TableNormal7"/>
    <w:tblPr>
      <w:tblStyleRowBandSize w:val="1"/>
      <w:tblStyleColBandSize w:val="1"/>
    </w:tblPr>
  </w:style>
  <w:style w:type="table" w:customStyle="1" w:styleId="a8">
    <w:basedOn w:val="TableNormal7"/>
    <w:tblPr>
      <w:tblStyleRowBandSize w:val="1"/>
      <w:tblStyleColBandSize w:val="1"/>
    </w:tblPr>
  </w:style>
  <w:style w:type="table" w:customStyle="1" w:styleId="a9">
    <w:basedOn w:val="TableNormal7"/>
    <w:tblPr>
      <w:tblStyleRowBandSize w:val="1"/>
      <w:tblStyleColBandSize w:val="1"/>
    </w:tblPr>
  </w:style>
  <w:style w:type="table" w:customStyle="1" w:styleId="aa">
    <w:basedOn w:val="TableNormal7"/>
    <w:tblPr>
      <w:tblStyleRowBandSize w:val="1"/>
      <w:tblStyleColBandSize w:val="1"/>
    </w:tblPr>
  </w:style>
  <w:style w:type="table" w:customStyle="1" w:styleId="ab">
    <w:basedOn w:val="TableNormal6"/>
    <w:tblPr>
      <w:tblStyleRowBandSize w:val="1"/>
      <w:tblStyleColBandSize w:val="1"/>
    </w:tblPr>
  </w:style>
  <w:style w:type="table" w:customStyle="1" w:styleId="ac">
    <w:basedOn w:val="TableNormal6"/>
    <w:tblPr>
      <w:tblStyleRowBandSize w:val="1"/>
      <w:tblStyleColBandSize w:val="1"/>
    </w:tblPr>
  </w:style>
  <w:style w:type="table" w:customStyle="1" w:styleId="ad">
    <w:basedOn w:val="TableNormal6"/>
    <w:tblPr>
      <w:tblStyleRowBandSize w:val="1"/>
      <w:tblStyleColBandSize w:val="1"/>
    </w:tblPr>
  </w:style>
  <w:style w:type="table" w:customStyle="1" w:styleId="ae">
    <w:basedOn w:val="TableNormal6"/>
    <w:tblPr>
      <w:tblStyleRowBandSize w:val="1"/>
      <w:tblStyleColBandSize w:val="1"/>
    </w:tblPr>
  </w:style>
  <w:style w:type="table" w:customStyle="1" w:styleId="af">
    <w:basedOn w:val="TableNormal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0">
    <w:basedOn w:val="TableNormal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1">
    <w:basedOn w:val="TableNormal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2">
    <w:basedOn w:val="TableNormal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7">
    <w:basedOn w:val="TableNormal3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8">
    <w:basedOn w:val="TableNormal3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9">
    <w:basedOn w:val="TableNormal3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a">
    <w:basedOn w:val="TableNormal3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b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c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d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e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0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1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5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6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19mBJVIlyU6GTQfyjbCSuTlZupL8RnqA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W8rsKWdgB4RjmBBu5YjeiDOjDg==">CgMxLjAyDmguaXB4em55OWpsencwMg5oLmgwN2J1Z3k1YmtieTIOaC5scno0eHpkdHBsbGoyDmguZ2RzYmt2OGx6eTZ5OAByITFYQWJrQkgyTWpoQUt2MUx0NGswTy1BR1l2MF9YS3dOTg==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1438</Words>
  <Characters>7911</Characters>
  <Application>Microsoft Office Word</Application>
  <DocSecurity>0</DocSecurity>
  <Lines>65</Lines>
  <Paragraphs>18</Paragraphs>
  <ScaleCrop>false</ScaleCrop>
  <Company>Hewlett-Packard Company</Company>
  <LinksUpToDate>false</LinksUpToDate>
  <CharactersWithSpaces>9331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Cindy Linda Quimbaya Narvaez</cp:lastModifiedBy>
  <cp:revision>2</cp:revision>
  <dcterms:created xsi:type="dcterms:W3CDTF">2025-09-30T21:54:00Z</dcterms:created>
  <dcterms:modified xsi:type="dcterms:W3CDTF">2025-12-03T15:01:00Z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8a905939-0a5e-4009-9b8b-9285e5826ad1</vt:lpwstr>
  </property>
</Properties>
</file>